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F1A14">
      <w:pPr>
        <w:keepNext w:val="0"/>
        <w:keepLines w:val="0"/>
        <w:widowControl/>
        <w:suppressLineNumbers w:val="0"/>
        <w:jc w:val="left"/>
        <w:rPr>
          <w:rStyle w:val="6"/>
          <w:rFonts w:hint="eastAsia" w:ascii="方正黑体简体" w:hAnsi="方正黑体简体" w:eastAsia="方正黑体简体" w:cs="方正黑体简体"/>
          <w:sz w:val="44"/>
          <w:szCs w:val="44"/>
        </w:rPr>
      </w:pPr>
      <w:r>
        <w:rPr>
          <w:rStyle w:val="6"/>
          <w:rFonts w:hint="eastAsia" w:ascii="方正黑体简体" w:hAnsi="方正黑体简体" w:eastAsia="方正黑体简体" w:cs="方正黑体简体"/>
          <w:b/>
          <w:bCs/>
          <w:i w:val="0"/>
          <w:iCs w:val="0"/>
          <w:caps w:val="0"/>
          <w:color w:val="0F1115"/>
          <w:spacing w:val="0"/>
          <w:kern w:val="0"/>
          <w:sz w:val="44"/>
          <w:szCs w:val="44"/>
          <w:u w:val="none"/>
          <w:lang w:val="en-US" w:eastAsia="zh-CN" w:bidi="ar"/>
        </w:rPr>
        <w:t>凝智聚力“十五五”</w:t>
      </w:r>
      <w:r>
        <w:rPr>
          <w:rStyle w:val="6"/>
          <w:rFonts w:hint="eastAsia" w:ascii="方正黑体简体" w:hAnsi="方正黑体简体" w:eastAsia="方正黑体简体" w:cs="方正黑体简体"/>
          <w:b w:val="0"/>
          <w:bCs w:val="0"/>
          <w:sz w:val="44"/>
          <w:szCs w:val="44"/>
          <w:lang w:eastAsia="zh-CN"/>
        </w:rPr>
        <w:t xml:space="preserve"> </w:t>
      </w:r>
      <w:r>
        <w:rPr>
          <w:rStyle w:val="6"/>
          <w:rFonts w:hint="eastAsia" w:ascii="方正黑体简体" w:hAnsi="方正黑体简体" w:eastAsia="方正黑体简体" w:cs="方正黑体简体"/>
          <w:b/>
          <w:bCs/>
          <w:i w:val="0"/>
          <w:iCs w:val="0"/>
          <w:caps w:val="0"/>
          <w:color w:val="0F1115"/>
          <w:spacing w:val="0"/>
          <w:kern w:val="0"/>
          <w:sz w:val="44"/>
          <w:szCs w:val="44"/>
          <w:u w:val="none"/>
          <w:lang w:val="en-US" w:eastAsia="zh-CN" w:bidi="ar"/>
        </w:rPr>
        <w:t>共筑沿海发展新格局</w:t>
      </w:r>
    </w:p>
    <w:p w14:paraId="5E9F5CAB">
      <w:pPr>
        <w:widowControl w:val="0"/>
        <w:spacing w:line="560" w:lineRule="exact"/>
        <w:ind w:firstLine="1080" w:firstLineChars="300"/>
        <w:jc w:val="both"/>
        <w:textAlignment w:val="auto"/>
      </w:pPr>
      <w:r>
        <w:rPr>
          <w:rFonts w:hint="eastAsia" w:ascii="楷体" w:hAnsi="楷体" w:eastAsia="楷体" w:cs="楷体"/>
          <w:kern w:val="2"/>
          <w:sz w:val="36"/>
          <w:szCs w:val="36"/>
          <w:lang w:val="en-US" w:eastAsia="zh-CN" w:bidi="ar-SA"/>
        </w:rPr>
        <w:t>——江苏沿海发展研究院</w:t>
      </w:r>
      <w:r>
        <w:rPr>
          <w:rFonts w:hint="default" w:ascii="Times New Roman Regular" w:hAnsi="Times New Roman Regular" w:eastAsia="楷体" w:cs="Times New Roman Regular"/>
          <w:kern w:val="2"/>
          <w:sz w:val="36"/>
          <w:szCs w:val="36"/>
          <w:lang w:val="en-US" w:eastAsia="zh-CN" w:bidi="ar-SA"/>
        </w:rPr>
        <w:t>2025年工作总结</w:t>
      </w:r>
    </w:p>
    <w:p w14:paraId="0ED998C2">
      <w:pPr>
        <w:widowControl w:val="0"/>
        <w:spacing w:line="560" w:lineRule="exact"/>
        <w:ind w:firstLine="2240" w:firstLineChars="700"/>
        <w:jc w:val="both"/>
        <w:textAlignment w:val="auto"/>
        <w:rPr>
          <w:rFonts w:hint="default" w:ascii="楷体" w:hAnsi="楷体" w:eastAsia="楷体" w:cs="楷体"/>
          <w:sz w:val="32"/>
          <w:szCs w:val="32"/>
          <w:lang w:val="en-US" w:eastAsia="zh-CN"/>
        </w:rPr>
      </w:pPr>
    </w:p>
    <w:p w14:paraId="49BDF3EC">
      <w:pPr>
        <w:widowControl/>
        <w:spacing w:line="240" w:lineRule="auto"/>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年，在上级有关部门的关心指导和学校党委行政的正确领导下，</w:t>
      </w:r>
      <w:r>
        <w:rPr>
          <w:rFonts w:hint="eastAsia" w:ascii="仿宋" w:hAnsi="仿宋" w:eastAsia="仿宋" w:cs="仿宋"/>
          <w:i w:val="0"/>
          <w:iCs w:val="0"/>
          <w:caps w:val="0"/>
          <w:color w:val="auto"/>
          <w:spacing w:val="0"/>
          <w:kern w:val="2"/>
          <w:sz w:val="32"/>
          <w:szCs w:val="32"/>
          <w:u w:val="none"/>
          <w:shd w:val="clear" w:fill="auto"/>
          <w:lang w:val="en-US" w:eastAsia="zh-CN" w:bidi="ar"/>
        </w:rPr>
        <w:t>江苏沿海发展研究院始终坚持以党建领航、以研究立身、以服务赋能，聚焦沿海高质量发展核心议题，全面提升决策影响力、学术引领力与社会服务力，各项工作实现系统推进与重点突破</w:t>
      </w:r>
      <w:r>
        <w:rPr>
          <w:rFonts w:hint="eastAsia" w:ascii="仿宋" w:hAnsi="仿宋" w:eastAsia="仿宋" w:cs="仿宋"/>
          <w:i w:val="0"/>
          <w:iCs w:val="0"/>
          <w:caps w:val="0"/>
          <w:spacing w:val="0"/>
          <w:kern w:val="2"/>
          <w:sz w:val="32"/>
          <w:szCs w:val="32"/>
          <w:u w:val="none"/>
          <w:shd w:val="clear"/>
          <w:lang w:val="en-US" w:eastAsia="zh-CN" w:bidi="ar"/>
        </w:rPr>
        <w:t>。</w:t>
      </w:r>
      <w:r>
        <w:rPr>
          <w:rFonts w:hint="eastAsia" w:ascii="仿宋" w:hAnsi="仿宋" w:eastAsia="仿宋" w:cs="仿宋"/>
          <w:sz w:val="32"/>
          <w:szCs w:val="32"/>
        </w:rPr>
        <w:t>现总结如下：</w:t>
      </w:r>
    </w:p>
    <w:p w14:paraId="1C958870">
      <w:pPr>
        <w:widowControl/>
        <w:spacing w:line="240" w:lineRule="auto"/>
        <w:jc w:val="left"/>
        <w:textAlignment w:val="auto"/>
        <w:rPr>
          <w:rFonts w:hint="eastAsia" w:ascii="方正公文黑体" w:hAnsi="方正公文黑体" w:eastAsia="方正公文黑体" w:cs="方正公文黑体"/>
          <w:sz w:val="32"/>
          <w:szCs w:val="32"/>
          <w14:ligatures w14:val="standardContextual"/>
        </w:rPr>
      </w:pPr>
      <w:r>
        <w:rPr>
          <w:rFonts w:hint="eastAsia" w:ascii="方正公文黑体" w:hAnsi="方正公文黑体" w:eastAsia="方正公文黑体" w:cs="方正公文黑体"/>
          <w:sz w:val="32"/>
          <w:szCs w:val="32"/>
          <w14:ligatures w14:val="standardContextual"/>
        </w:rPr>
        <w:t>一、</w:t>
      </w:r>
      <w:r>
        <w:rPr>
          <w:rFonts w:hint="eastAsia" w:ascii="方正公文黑体" w:hAnsi="方正公文黑体" w:eastAsia="方正公文黑体" w:cs="方正公文黑体"/>
          <w:b w:val="0"/>
          <w:bCs w:val="0"/>
          <w:i w:val="0"/>
          <w:iCs w:val="0"/>
          <w:caps w:val="0"/>
          <w:color w:val="auto"/>
          <w:spacing w:val="0"/>
          <w:kern w:val="2"/>
          <w:sz w:val="32"/>
          <w:szCs w:val="32"/>
          <w:u w:val="none"/>
          <w:lang w:val="en-US" w:eastAsia="zh-CN" w:bidi="ar"/>
          <w14:ligatures w14:val="standardContextual"/>
        </w:rPr>
        <w:t> </w:t>
      </w:r>
      <w:r>
        <w:rPr>
          <w:rStyle w:val="4"/>
          <w:rFonts w:hint="eastAsia" w:ascii="方正公文黑体" w:hAnsi="方正公文黑体" w:eastAsia="方正公文黑体" w:cs="方正公文黑体"/>
          <w:b w:val="0"/>
          <w:bCs w:val="0"/>
          <w:i w:val="0"/>
          <w:iCs w:val="0"/>
          <w:caps w:val="0"/>
          <w:color w:val="0F1115"/>
          <w:spacing w:val="0"/>
          <w:kern w:val="2"/>
          <w:sz w:val="32"/>
          <w:szCs w:val="32"/>
          <w:u w:val="none"/>
          <w:lang w:val="en-US" w:eastAsia="zh-CN" w:bidi="ar"/>
          <w14:ligatures w14:val="standardContextual"/>
        </w:rPr>
        <w:t>强化政治领航，筑牢智库发展“压舱石”</w:t>
      </w:r>
    </w:p>
    <w:p w14:paraId="09B288D6">
      <w:pPr>
        <w:widowControl/>
        <w:ind w:firstLine="643" w:firstLineChars="200"/>
        <w:jc w:val="left"/>
        <w:rPr>
          <w:rFonts w:hint="eastAsia" w:ascii="仿宋" w:hAnsi="仿宋" w:eastAsia="仿宋" w:cs="仿宋"/>
          <w:i w:val="0"/>
          <w:iCs w:val="0"/>
          <w:caps w:val="0"/>
          <w:spacing w:val="0"/>
          <w:kern w:val="2"/>
          <w:sz w:val="32"/>
          <w:szCs w:val="32"/>
          <w:u w:val="none"/>
          <w:shd w:val="clear"/>
          <w:lang w:val="en-US" w:eastAsia="zh-CN" w:bidi="ar"/>
        </w:rPr>
      </w:pPr>
      <w:r>
        <w:rPr>
          <w:rFonts w:hint="eastAsia" w:ascii="方正楷体_GBK" w:hAnsi="方正楷体_GBK" w:eastAsia="方正楷体_GBK" w:cs="方正楷体_GBK"/>
          <w:b/>
          <w:bCs/>
          <w:sz w:val="32"/>
          <w:szCs w:val="32"/>
          <w:u w:val="none"/>
          <w:lang w:val="en-US" w:eastAsia="zh-CN" w:bidi="ar"/>
        </w:rPr>
        <w:t>1.</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理论强基，</w:t>
      </w:r>
      <w:r>
        <w:rPr>
          <w:rFonts w:hint="eastAsia" w:ascii="方正楷体_GBK" w:hAnsi="方正楷体_GBK" w:eastAsia="方正楷体_GBK" w:cs="方正楷体_GBK"/>
          <w:b/>
          <w:bCs/>
          <w:i w:val="0"/>
          <w:iCs w:val="0"/>
          <w:caps w:val="0"/>
          <w:spacing w:val="0"/>
          <w:kern w:val="2"/>
          <w:sz w:val="32"/>
          <w:szCs w:val="32"/>
          <w:u w:val="none"/>
          <w:lang w:val="en-US" w:eastAsia="zh-CN" w:bidi="ar"/>
        </w:rPr>
        <w:t>把稳政治方向。</w:t>
      </w:r>
      <w:r>
        <w:rPr>
          <w:rFonts w:hint="eastAsia" w:ascii="仿宋" w:hAnsi="仿宋" w:eastAsia="仿宋" w:cs="仿宋"/>
          <w:sz w:val="32"/>
          <w:szCs w:val="32"/>
          <w:lang w:val="en-US" w:eastAsia="zh-CN" w:bidi="ar"/>
        </w:rPr>
        <w:t>为充分发挥基层党组织的战斗堡垒作用</w:t>
      </w:r>
      <w:r>
        <w:rPr>
          <w:rFonts w:hint="eastAsia" w:ascii="仿宋" w:hAnsi="仿宋" w:eastAsia="仿宋" w:cs="仿宋"/>
          <w:sz w:val="32"/>
          <w:szCs w:val="32"/>
          <w:lang w:val="en-US" w:eastAsia="zh-CN"/>
        </w:rPr>
        <w:t>，坚持把学习贯彻习近平新时代中国特色社会主义思想作为首要政治任务，通过党支部“三会一课”、党支部书记讲党课等形式，深入开展党的二十届四中全会精神</w:t>
      </w:r>
      <w:r>
        <w:rPr>
          <w:rFonts w:hint="eastAsia" w:ascii="仿宋" w:hAnsi="仿宋" w:eastAsia="仿宋" w:cs="仿宋"/>
          <w:i w:val="0"/>
          <w:iCs w:val="0"/>
          <w:caps w:val="0"/>
          <w:color w:val="auto"/>
          <w:spacing w:val="0"/>
          <w:kern w:val="2"/>
          <w:sz w:val="32"/>
          <w:szCs w:val="32"/>
          <w:u w:val="none"/>
          <w:shd w:val="clear" w:fill="auto"/>
          <w:lang w:val="en-US" w:eastAsia="zh-CN" w:bidi="ar"/>
        </w:rPr>
        <w:t>学习宣传与研究阐释</w:t>
      </w:r>
      <w:r>
        <w:rPr>
          <w:rFonts w:hint="eastAsia" w:ascii="仿宋" w:hAnsi="仿宋" w:eastAsia="仿宋" w:cs="仿宋"/>
          <w:i w:val="0"/>
          <w:iCs w:val="0"/>
          <w:caps w:val="0"/>
          <w:spacing w:val="0"/>
          <w:kern w:val="2"/>
          <w:sz w:val="32"/>
          <w:szCs w:val="32"/>
          <w:u w:val="none"/>
          <w:shd w:val="clear"/>
          <w:lang w:val="en-US" w:eastAsia="zh-CN" w:bidi="ar"/>
        </w:rPr>
        <w:t>。</w:t>
      </w:r>
      <w:r>
        <w:rPr>
          <w:rFonts w:hint="eastAsia" w:ascii="仿宋" w:hAnsi="仿宋" w:eastAsia="仿宋" w:cs="仿宋"/>
          <w:i w:val="0"/>
          <w:iCs w:val="0"/>
          <w:caps w:val="0"/>
          <w:color w:val="auto"/>
          <w:spacing w:val="0"/>
          <w:kern w:val="2"/>
          <w:sz w:val="32"/>
          <w:szCs w:val="32"/>
          <w:u w:val="none"/>
          <w:shd w:val="clear" w:fill="auto"/>
          <w:lang w:val="en-US" w:eastAsia="zh-CN" w:bidi="ar"/>
        </w:rPr>
        <w:t>结合学习成果</w:t>
      </w:r>
      <w:r>
        <w:rPr>
          <w:rFonts w:hint="eastAsia" w:ascii="仿宋" w:hAnsi="仿宋" w:eastAsia="仿宋" w:cs="仿宋"/>
          <w:sz w:val="32"/>
          <w:szCs w:val="32"/>
          <w:lang w:val="en-US" w:eastAsia="zh-CN"/>
        </w:rPr>
        <w:t>组织撰写系列研究报告，发表于党报党刊，</w:t>
      </w:r>
      <w:r>
        <w:rPr>
          <w:rFonts w:hint="eastAsia" w:ascii="仿宋" w:hAnsi="仿宋" w:eastAsia="仿宋" w:cs="仿宋"/>
          <w:i w:val="0"/>
          <w:iCs w:val="0"/>
          <w:caps w:val="0"/>
          <w:color w:val="auto"/>
          <w:spacing w:val="0"/>
          <w:kern w:val="2"/>
          <w:sz w:val="32"/>
          <w:szCs w:val="32"/>
          <w:u w:val="none"/>
          <w:shd w:val="clear" w:fill="auto"/>
          <w:lang w:val="en-US" w:eastAsia="zh-CN" w:bidi="ar"/>
        </w:rPr>
        <w:t>切实将理论学习成果转化为提升党员政治素养、增强智库研究针对性与实效性的坚实支撑</w:t>
      </w:r>
      <w:r>
        <w:rPr>
          <w:rFonts w:hint="eastAsia" w:ascii="仿宋" w:hAnsi="仿宋" w:eastAsia="仿宋" w:cs="仿宋"/>
          <w:i w:val="0"/>
          <w:iCs w:val="0"/>
          <w:caps w:val="0"/>
          <w:spacing w:val="0"/>
          <w:kern w:val="2"/>
          <w:sz w:val="32"/>
          <w:szCs w:val="32"/>
          <w:u w:val="none"/>
          <w:shd w:val="clear"/>
          <w:lang w:val="en-US" w:eastAsia="zh-CN" w:bidi="ar"/>
        </w:rPr>
        <w:t>。</w:t>
      </w:r>
    </w:p>
    <w:p w14:paraId="710B1C7E">
      <w:pPr>
        <w:widowControl/>
        <w:ind w:firstLine="643" w:firstLineChars="200"/>
        <w:jc w:val="left"/>
        <w:rPr>
          <w:rFonts w:hint="eastAsia" w:ascii="仿宋" w:hAnsi="仿宋" w:eastAsia="仿宋" w:cs="仿宋"/>
          <w:i w:val="0"/>
          <w:iCs w:val="0"/>
          <w:caps w:val="0"/>
          <w:spacing w:val="0"/>
          <w:kern w:val="2"/>
          <w:sz w:val="32"/>
          <w:szCs w:val="32"/>
          <w:u w:val="none"/>
          <w:shd w:val="clear"/>
          <w:lang w:val="en-US" w:eastAsia="zh-CN" w:bidi="ar"/>
        </w:rPr>
      </w:pPr>
      <w:r>
        <w:rPr>
          <w:rFonts w:hint="eastAsia" w:ascii="方正楷体_GBK" w:hAnsi="方正楷体_GBK" w:eastAsia="方正楷体_GBK" w:cs="方正楷体_GBK"/>
          <w:b/>
          <w:bCs/>
          <w:sz w:val="32"/>
          <w:szCs w:val="32"/>
          <w:lang w:val="en-US" w:eastAsia="zh-CN"/>
        </w:rPr>
        <w:t>2.</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融合赋能，激发党建活力</w:t>
      </w:r>
      <w:r>
        <w:rPr>
          <w:rFonts w:hint="eastAsia" w:ascii="仿宋" w:hAnsi="仿宋" w:eastAsia="仿宋" w:cs="仿宋"/>
          <w:sz w:val="32"/>
          <w:szCs w:val="32"/>
          <w:lang w:val="en-US" w:eastAsia="zh-CN"/>
        </w:rPr>
        <w:t>。</w:t>
      </w:r>
      <w:r>
        <w:rPr>
          <w:rFonts w:hint="eastAsia" w:ascii="仿宋" w:hAnsi="仿宋" w:eastAsia="仿宋" w:cs="仿宋"/>
          <w:i w:val="0"/>
          <w:iCs w:val="0"/>
          <w:caps w:val="0"/>
          <w:color w:val="auto"/>
          <w:spacing w:val="0"/>
          <w:kern w:val="2"/>
          <w:sz w:val="32"/>
          <w:szCs w:val="32"/>
          <w:u w:val="none"/>
          <w:shd w:val="clear" w:fill="auto"/>
          <w:lang w:val="en-US" w:eastAsia="zh-CN" w:bidi="ar"/>
        </w:rPr>
        <w:t>以成功</w:t>
      </w:r>
      <w:r>
        <w:rPr>
          <w:rFonts w:hint="eastAsia" w:ascii="仿宋" w:hAnsi="仿宋" w:eastAsia="仿宋" w:cs="仿宋"/>
          <w:i w:val="0"/>
          <w:iCs w:val="0"/>
          <w:caps w:val="0"/>
          <w:spacing w:val="0"/>
          <w:kern w:val="2"/>
          <w:sz w:val="32"/>
          <w:szCs w:val="32"/>
          <w:u w:val="none"/>
          <w:shd w:val="clear"/>
          <w:lang w:val="en-US" w:eastAsia="zh-CN" w:bidi="ar"/>
        </w:rPr>
        <w:t>获批学校</w:t>
      </w:r>
      <w:r>
        <w:rPr>
          <w:rFonts w:hint="eastAsia" w:ascii="仿宋" w:hAnsi="仿宋" w:eastAsia="仿宋" w:cs="仿宋"/>
          <w:sz w:val="32"/>
          <w:szCs w:val="32"/>
          <w:lang w:val="en-US" w:eastAsia="zh-CN"/>
        </w:rPr>
        <w:t>基层党建</w:t>
      </w:r>
      <w:r>
        <w:rPr>
          <w:rFonts w:hint="eastAsia" w:ascii="仿宋" w:hAnsi="仿宋" w:eastAsia="仿宋" w:cs="仿宋"/>
          <w:i w:val="0"/>
          <w:iCs w:val="0"/>
          <w:caps w:val="0"/>
          <w:color w:val="auto"/>
          <w:spacing w:val="0"/>
          <w:kern w:val="2"/>
          <w:sz w:val="32"/>
          <w:szCs w:val="32"/>
          <w:u w:val="none"/>
          <w:shd w:val="clear" w:fill="auto"/>
          <w:lang w:val="en-US" w:eastAsia="zh-CN" w:bidi="ar"/>
        </w:rPr>
        <w:t>“书记项目”为契机，创新推动“党建引领‘四个融合’工程”，促进党建工作与战略研究、政策建言、社会服务、团队建设深度耦合，将党的政治优势、组织优势切实转化为智库高质量发展的强大动能</w:t>
      </w:r>
      <w:r>
        <w:rPr>
          <w:rFonts w:hint="eastAsia" w:ascii="仿宋" w:hAnsi="仿宋" w:eastAsia="仿宋" w:cs="仿宋"/>
          <w:i w:val="0"/>
          <w:iCs w:val="0"/>
          <w:caps w:val="0"/>
          <w:spacing w:val="0"/>
          <w:kern w:val="2"/>
          <w:sz w:val="32"/>
          <w:szCs w:val="32"/>
          <w:u w:val="none"/>
          <w:shd w:val="clear"/>
          <w:lang w:val="en-US" w:eastAsia="zh-CN" w:bidi="ar"/>
        </w:rPr>
        <w:t>。</w:t>
      </w:r>
    </w:p>
    <w:p w14:paraId="6968DDBC">
      <w:pPr>
        <w:widowControl/>
        <w:ind w:firstLine="640" w:firstLineChars="200"/>
        <w:jc w:val="left"/>
        <w:rPr>
          <w:rFonts w:hint="eastAsia" w:ascii="仿宋" w:hAnsi="仿宋" w:eastAsia="仿宋" w:cs="仿宋"/>
          <w:i w:val="0"/>
          <w:iCs w:val="0"/>
          <w:caps w:val="0"/>
          <w:spacing w:val="0"/>
          <w:kern w:val="2"/>
          <w:sz w:val="32"/>
          <w:szCs w:val="32"/>
          <w:u w:val="none"/>
          <w:shd w:val="clear"/>
          <w:lang w:val="en-US" w:eastAsia="zh-CN" w:bidi="ar"/>
        </w:rPr>
      </w:pPr>
    </w:p>
    <w:p w14:paraId="1F473F04">
      <w:pPr>
        <w:widowControl/>
        <w:spacing w:line="240" w:lineRule="auto"/>
        <w:jc w:val="left"/>
        <w:textAlignment w:val="auto"/>
        <w:rPr>
          <w:rFonts w:hint="eastAsia" w:ascii="方正公文黑体" w:hAnsi="方正公文黑体" w:eastAsia="方正公文黑体" w:cs="方正公文黑体"/>
          <w:sz w:val="32"/>
          <w:szCs w:val="32"/>
          <w:u w:val="none"/>
          <w:lang w:bidi="ar"/>
          <w14:ligatures w14:val="standardContextual"/>
        </w:rPr>
      </w:pPr>
      <w:r>
        <w:rPr>
          <w:rFonts w:hint="eastAsia" w:ascii="方正公文黑体" w:hAnsi="方正公文黑体" w:eastAsia="方正公文黑体" w:cs="方正公文黑体"/>
          <w:sz w:val="32"/>
          <w:szCs w:val="32"/>
          <w14:ligatures w14:val="standardContextual"/>
        </w:rPr>
        <w:t>二、</w:t>
      </w:r>
      <w:r>
        <w:rPr>
          <w:rStyle w:val="4"/>
          <w:rFonts w:hint="eastAsia" w:ascii="方正公文黑体" w:hAnsi="方正公文黑体" w:eastAsia="方正公文黑体" w:cs="方正公文黑体"/>
          <w:b w:val="0"/>
          <w:bCs w:val="0"/>
          <w:i w:val="0"/>
          <w:iCs w:val="0"/>
          <w:caps w:val="0"/>
          <w:color w:val="0F1115"/>
          <w:spacing w:val="0"/>
          <w:kern w:val="2"/>
          <w:sz w:val="32"/>
          <w:szCs w:val="32"/>
          <w:u w:val="none"/>
          <w:lang w:val="en-US" w:eastAsia="zh-CN" w:bidi="ar"/>
          <w14:ligatures w14:val="standardContextual"/>
        </w:rPr>
        <w:t xml:space="preserve"> 深耕主责主业，打造决策服务“强引擎”</w:t>
      </w:r>
    </w:p>
    <w:p w14:paraId="2D7527F7">
      <w:pPr>
        <w:widowControl/>
        <w:spacing w:line="240" w:lineRule="auto"/>
        <w:ind w:firstLine="640" w:firstLineChars="200"/>
        <w:jc w:val="left"/>
        <w:textAlignment w:val="auto"/>
        <w:rPr>
          <w:rFonts w:hint="eastAsia" w:ascii="仿宋" w:hAnsi="仿宋" w:eastAsia="仿宋" w:cs="仿宋"/>
          <w:b/>
          <w:bCs/>
          <w:sz w:val="32"/>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243840</wp:posOffset>
                </wp:positionH>
                <wp:positionV relativeFrom="paragraph">
                  <wp:posOffset>113665</wp:posOffset>
                </wp:positionV>
                <wp:extent cx="173355" cy="199390"/>
                <wp:effectExtent l="17145" t="24765" r="19050" b="23495"/>
                <wp:wrapNone/>
                <wp:docPr id="1" name="五角星 1"/>
                <wp:cNvGraphicFramePr/>
                <a:graphic xmlns:a="http://schemas.openxmlformats.org/drawingml/2006/main">
                  <a:graphicData uri="http://schemas.microsoft.com/office/word/2010/wordprocessingShape">
                    <wps:wsp>
                      <wps:cNvSpPr/>
                      <wps:spPr>
                        <a:xfrm>
                          <a:off x="1273810" y="1416050"/>
                          <a:ext cx="173355" cy="199390"/>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9.2pt;margin-top:8.95pt;height:15.7pt;width:13.65pt;z-index:251659264;v-text-anchor:middle;mso-width-relative:page;mso-height-relative:page;" fillcolor="#4874CB [3204]" filled="t" stroked="t" coordsize="173355,199390" o:gfxdata="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8lnvK&#10;1gAAAAcBAAAPAAAAAAAAAAEAIAAAACIAAABkcnMvZG93bnJldi54bWxQSwECFAAUAAAACACHTuJA&#10;gNcFmZUCAAAlBQAADgAAAAAAAAABACAAAAAlAQAAZHJzL2Uyb0RvYy54bWxQSwUGAAAAAAYABgBZ&#10;AQAALAYAAAAA&#10;" path="m0,76160l66216,76160,86677,0,107138,76160,173354,76160,119784,123229,140247,199389,86677,152319,33107,199389,53570,123229xe">
                <v:path o:connectlocs="86677,0;0,76160;33107,199389;140247,199389;173354,76160" o:connectangles="247,164,82,82,0"/>
                <v:fill on="t" focussize="0,0"/>
                <v:stroke weight="1pt" color="#2E54A1 [2404]" miterlimit="8" joinstyle="miter"/>
                <v:imagedata o:title=""/>
                <o:lock v:ext="edit" aspectratio="f"/>
              </v:shape>
            </w:pict>
          </mc:Fallback>
        </mc:AlternateContent>
      </w:r>
      <w:r>
        <w:rPr>
          <w:rFonts w:hint="eastAsia" w:ascii="方正楷体_GBK" w:hAnsi="方正楷体_GBK" w:eastAsia="方正楷体_GBK" w:cs="方正楷体_GBK"/>
          <w:b/>
          <w:bCs/>
          <w:sz w:val="32"/>
          <w:szCs w:val="32"/>
          <w:u w:val="none"/>
          <w:lang w:bidi="ar"/>
        </w:rPr>
        <w:t>1.</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首获全国政协采纳，高端建言通道实现突破</w:t>
      </w:r>
    </w:p>
    <w:p w14:paraId="30BE8599">
      <w:pPr>
        <w:ind w:firstLine="640" w:firstLineChars="200"/>
      </w:pPr>
      <w:r>
        <w:rPr>
          <w:rFonts w:hint="eastAsia" w:ascii="仿宋" w:hAnsi="仿宋" w:eastAsia="仿宋" w:cs="仿宋"/>
          <w:i w:val="0"/>
          <w:iCs w:val="0"/>
          <w:caps w:val="0"/>
          <w:spacing w:val="0"/>
          <w:kern w:val="2"/>
          <w:sz w:val="32"/>
          <w:szCs w:val="32"/>
          <w:u w:val="none"/>
          <w:lang w:val="en-US" w:eastAsia="zh-CN" w:bidi="ar"/>
        </w:rPr>
        <w:t>以服务支撑江苏省政协社情民意信息建设为契机，进一步拓宽决策咨询成果报送渠道。研究院组织专家完成高质量研究报告提交江苏省政协社情民意处，其中“发展水系锌电池仓式储能电池”报告经报全国政协办公厅，获采纳。</w:t>
      </w:r>
    </w:p>
    <w:p w14:paraId="62ECE407">
      <w:pPr>
        <w:keepNext w:val="0"/>
        <w:keepLines w:val="0"/>
        <w:widowControl/>
        <w:suppressLineNumbers w:val="0"/>
        <w:ind w:firstLine="640" w:firstLineChars="200"/>
        <w:jc w:val="left"/>
        <w:rPr>
          <w:rFonts w:hint="eastAsia" w:ascii="方正楷体_GBK" w:hAnsi="方正楷体_GBK" w:eastAsia="方正楷体_GBK" w:cs="方正楷体_GBK"/>
          <w:b/>
          <w:bCs/>
          <w:sz w:val="32"/>
          <w:szCs w:val="32"/>
          <w:u w:val="none"/>
          <w:lang w:bidi="ar"/>
        </w:rPr>
      </w:pPr>
      <w:r>
        <w:rPr>
          <w:sz w:val="32"/>
        </w:rPr>
        <mc:AlternateContent>
          <mc:Choice Requires="wps">
            <w:drawing>
              <wp:anchor distT="0" distB="0" distL="114300" distR="114300" simplePos="0" relativeHeight="251660288" behindDoc="0" locked="0" layoutInCell="1" allowOverlap="1">
                <wp:simplePos x="0" y="0"/>
                <wp:positionH relativeFrom="column">
                  <wp:posOffset>179705</wp:posOffset>
                </wp:positionH>
                <wp:positionV relativeFrom="paragraph">
                  <wp:posOffset>34290</wp:posOffset>
                </wp:positionV>
                <wp:extent cx="173355" cy="199390"/>
                <wp:effectExtent l="17145" t="24765" r="19050" b="23495"/>
                <wp:wrapNone/>
                <wp:docPr id="2" name="五角星 2"/>
                <wp:cNvGraphicFramePr/>
                <a:graphic xmlns:a="http://schemas.openxmlformats.org/drawingml/2006/main">
                  <a:graphicData uri="http://schemas.microsoft.com/office/word/2010/wordprocessingShape">
                    <wps:wsp>
                      <wps:cNvSpPr/>
                      <wps:spPr>
                        <a:xfrm>
                          <a:off x="0" y="0"/>
                          <a:ext cx="173355" cy="199390"/>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4.15pt;margin-top:2.7pt;height:15.7pt;width:13.65pt;z-index:251660288;v-text-anchor:middle;mso-width-relative:page;mso-height-relative:page;" fillcolor="#4874CB [3204]" filled="t" stroked="t" coordsize="173355,199390" o:gfxdata="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ImFnK/VAAAABgEA&#10;AA8AAAAAAAAAAQAgAAAAIgAAAGRycy9kb3ducmV2LnhtbFBLAQIUABQAAAAIAIdO4kDIF+qTjwIA&#10;ABkFAAAOAAAAAAAAAAEAIAAAACQBAABkcnMvZTJvRG9jLnhtbFBLBQYAAAAABgAGAFkBAAAlBgAA&#10;AAA=&#10;" path="m0,76160l66216,76160,86677,0,107138,76160,173354,76160,119784,123229,140247,199389,86677,152319,33107,199389,53570,123229xe">
                <v:path o:connectlocs="86677,0;0,76160;33107,199389;140247,199389;173354,76160" o:connectangles="247,164,82,82,0"/>
                <v:fill on="t" focussize="0,0"/>
                <v:stroke weight="1pt" color="#2E54A1 [2404]" miterlimit="8" joinstyle="miter"/>
                <v:imagedata o:title=""/>
                <o:lock v:ext="edit" aspectratio="f"/>
              </v:shape>
            </w:pict>
          </mc:Fallback>
        </mc:AlternateContent>
      </w:r>
      <w:r>
        <w:rPr>
          <w:rFonts w:hint="eastAsia" w:ascii="方正楷体_GBK" w:hAnsi="方正楷体_GBK" w:eastAsia="方正楷体_GBK" w:cs="方正楷体_GBK"/>
          <w:b/>
          <w:bCs/>
          <w:sz w:val="32"/>
          <w:szCs w:val="32"/>
          <w:u w:val="none"/>
          <w:lang w:bidi="ar"/>
        </w:rPr>
        <w:t>2.</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服务重大决策需求，批示采纳实效显著增强</w:t>
      </w:r>
    </w:p>
    <w:p w14:paraId="2E6A756B">
      <w:pPr>
        <w:widowControl w:val="0"/>
        <w:spacing w:line="560" w:lineRule="exact"/>
        <w:ind w:firstLine="640" w:firstLineChars="200"/>
        <w:textAlignment w:val="auto"/>
        <w:rPr>
          <w:rFonts w:ascii="Times New Roman" w:hAnsi="Times New Roman" w:eastAsia="仿宋_GB2312"/>
          <w:sz w:val="32"/>
          <w:szCs w:val="32"/>
        </w:rPr>
      </w:pPr>
      <w:r>
        <w:rPr>
          <w:rFonts w:hint="eastAsia" w:ascii="仿宋" w:hAnsi="仿宋" w:eastAsia="仿宋" w:cs="仿宋"/>
          <w:sz w:val="32"/>
          <w:szCs w:val="32"/>
        </w:rPr>
        <w:t>全面落实“举全校之力办好智库”的工作要求，进一步完善工作机制，整合校内研究力量，完成了学校年初下达的目标任务，共获得省部级领导</w:t>
      </w:r>
      <w:r>
        <w:rPr>
          <w:rFonts w:hint="eastAsia" w:ascii="仿宋" w:hAnsi="仿宋" w:eastAsia="仿宋" w:cs="仿宋"/>
          <w:sz w:val="32"/>
          <w:szCs w:val="32"/>
          <w:lang w:val="en-US" w:eastAsia="zh-CN"/>
        </w:rPr>
        <w:t>以上</w:t>
      </w:r>
      <w:r>
        <w:rPr>
          <w:rFonts w:hint="eastAsia" w:ascii="仿宋" w:hAnsi="仿宋" w:eastAsia="仿宋" w:cs="仿宋"/>
          <w:sz w:val="32"/>
          <w:szCs w:val="32"/>
        </w:rPr>
        <w:t>批示</w:t>
      </w:r>
      <w:r>
        <w:rPr>
          <w:rFonts w:hint="eastAsia" w:ascii="仿宋" w:hAnsi="仿宋" w:eastAsia="仿宋" w:cs="仿宋"/>
          <w:sz w:val="32"/>
          <w:szCs w:val="32"/>
          <w:lang w:val="en-US" w:eastAsia="zh-CN"/>
        </w:rPr>
        <w:t>4</w:t>
      </w:r>
      <w:r>
        <w:rPr>
          <w:rFonts w:hint="eastAsia" w:ascii="仿宋" w:hAnsi="仿宋" w:eastAsia="仿宋" w:cs="仿宋"/>
          <w:sz w:val="32"/>
          <w:szCs w:val="32"/>
        </w:rPr>
        <w:t>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包含</w:t>
      </w:r>
      <w:r>
        <w:rPr>
          <w:rStyle w:val="4"/>
          <w:rFonts w:hint="default" w:ascii="Times New Roman" w:hAnsi="Times New Roman" w:eastAsia="方正仿宋_GBK" w:cstheme="minorBidi"/>
          <w:kern w:val="2"/>
          <w:sz w:val="32"/>
          <w:szCs w:val="32"/>
          <w:lang w:val="zh-CN" w:eastAsia="zh-CN" w:bidi="ar-SA"/>
          <w14:ligatures w14:val="none"/>
        </w:rPr>
        <w:t>国家级部门采用1次，省部级领导肯定性批示</w:t>
      </w:r>
      <w:r>
        <w:rPr>
          <w:rStyle w:val="4"/>
          <w:rFonts w:hint="eastAsia" w:ascii="Times New Roman" w:hAnsi="Times New Roman" w:eastAsia="方正仿宋_GBK" w:cstheme="minorBidi"/>
          <w:kern w:val="2"/>
          <w:sz w:val="32"/>
          <w:szCs w:val="32"/>
          <w:lang w:val="en-US" w:eastAsia="zh-CN" w:bidi="ar-SA"/>
          <w14:ligatures w14:val="none"/>
        </w:rPr>
        <w:t>3</w:t>
      </w:r>
      <w:r>
        <w:rPr>
          <w:rStyle w:val="4"/>
          <w:rFonts w:hint="default" w:ascii="Times New Roman" w:hAnsi="Times New Roman" w:eastAsia="方正仿宋_GBK" w:cstheme="minorBidi"/>
          <w:kern w:val="2"/>
          <w:sz w:val="32"/>
          <w:szCs w:val="32"/>
          <w:lang w:val="zh-CN" w:eastAsia="zh-CN" w:bidi="ar-SA"/>
          <w14:ligatures w14:val="none"/>
        </w:rPr>
        <w:t>次</w:t>
      </w:r>
      <w:r>
        <w:rPr>
          <w:rFonts w:hint="eastAsia" w:ascii="仿宋" w:hAnsi="仿宋" w:eastAsia="仿宋" w:cs="仿宋"/>
          <w:sz w:val="32"/>
          <w:szCs w:val="32"/>
        </w:rPr>
        <w:t>。</w:t>
      </w:r>
      <w:r>
        <w:rPr>
          <w:rFonts w:hint="eastAsia" w:ascii="仿宋" w:hAnsi="仿宋" w:eastAsia="仿宋" w:cs="仿宋"/>
          <w:sz w:val="32"/>
          <w:szCs w:val="32"/>
          <w:lang w:val="en-US" w:eastAsia="zh-CN"/>
        </w:rPr>
        <w:t>由</w:t>
      </w:r>
      <w:r>
        <w:rPr>
          <w:rFonts w:hint="eastAsia" w:ascii="仿宋" w:hAnsi="仿宋" w:eastAsia="仿宋" w:cs="仿宋"/>
          <w:sz w:val="32"/>
          <w:szCs w:val="32"/>
        </w:rPr>
        <w:t>智库专家署名的《关于加快建设世界级新能源产业集群的建议》获省委主要领导批示转省发改委能源局阅研，《关于加快推进人工智能赋能我省传统产业转型升级的建议》获省政府主要领导肯定性批示请省工信厅阅研，《关于加快推进江苏海洋渔业高质量发展的调查与建议》获省政府领导肯定性批示。</w:t>
      </w:r>
    </w:p>
    <w:p w14:paraId="5CF5F59E">
      <w:pPr>
        <w:widowControl/>
        <w:spacing w:line="240" w:lineRule="auto"/>
        <w:ind w:firstLine="643" w:firstLineChars="200"/>
        <w:jc w:val="left"/>
        <w:textAlignment w:val="auto"/>
        <w:rPr>
          <w:rFonts w:hint="eastAsia" w:ascii="仿宋" w:hAnsi="仿宋" w:eastAsia="仿宋" w:cs="仿宋"/>
          <w:b/>
          <w:bCs/>
          <w:sz w:val="32"/>
          <w:szCs w:val="32"/>
        </w:rPr>
      </w:pPr>
      <w:r>
        <w:rPr>
          <w:rFonts w:hint="eastAsia" w:ascii="方正楷体_GBK" w:hAnsi="方正楷体_GBK" w:eastAsia="方正楷体_GBK" w:cs="方正楷体_GBK"/>
          <w:b/>
          <w:bCs/>
          <w:sz w:val="32"/>
          <w:szCs w:val="32"/>
          <w:u w:val="none"/>
          <w:lang w:bidi="ar"/>
        </w:rPr>
        <w:t>3.</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推动成果多元转化，内参报刊发表成果丰硕</w:t>
      </w:r>
    </w:p>
    <w:p w14:paraId="36D0045D">
      <w:p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i w:val="0"/>
          <w:iCs w:val="0"/>
          <w:caps w:val="0"/>
          <w:spacing w:val="0"/>
          <w:kern w:val="2"/>
          <w:sz w:val="32"/>
          <w:szCs w:val="32"/>
          <w:u w:val="none"/>
          <w:lang w:val="en-US" w:eastAsia="zh-CN" w:bidi="ar"/>
        </w:rPr>
        <w:t>着力推进有组织科研，聚焦新质生产力与江苏沿海高质量发展主线，组织专家深入开展理论探索与实地调研，全年累计形成高质量研究成果50余篇。其中，18篇被各级内参及报刊采纳发表。同时，系统开展研究成果梳理与集成工作，围绕宏观战略、产业体系、绿色低碳、双向开放、科教人才五大板块，汇编形成体系化学术成果，为区域发展提供扎实的理论储备与决策参考。其中，《强化使命担当服务海洋强省建设》《培育壮大海洋新质生产力》发表于《群众》；《高校概念验证平台如何提质增效》发表在中国教育报；《以制度型开放，拓展江苏沿海港口国际合作空间的建议》《科技创新赋能我省海洋产业高质量发展的几点建议》《未雨绸缪迎接人工智能就业新挑战》《以新型城镇化推进苏北农民增收的建议》等发表在《智库专报》；《关于加快推进江苏海洋渔业高质量发展的调查与建议》《积极应对人工智能对我省就业冲击的对策建议》等发表在《决策参阅》；《创新驱动引领江苏海洋经济高质量发展的对策建议》发表在《江苏宣传工作动态 社科基金成果专刊》；《做优特色品牌 焕新老城消费》发表于《调查研究报告》；《建设“生态大花园”引领生产生活低碳化》等7篇文章发表在《盐阜大众报》理论版。</w:t>
      </w:r>
    </w:p>
    <w:p w14:paraId="45A0D6DB">
      <w:pPr>
        <w:widowControl/>
        <w:spacing w:line="240" w:lineRule="auto"/>
        <w:ind w:firstLine="643" w:firstLineChars="200"/>
        <w:jc w:val="left"/>
        <w:textAlignment w:val="auto"/>
        <w:rPr>
          <w:rFonts w:hint="eastAsia" w:ascii="仿宋" w:hAnsi="仿宋" w:eastAsia="仿宋" w:cs="仿宋"/>
          <w:b/>
          <w:bCs/>
          <w:color w:val="auto"/>
          <w:sz w:val="32"/>
          <w:szCs w:val="32"/>
          <w:highlight w:val="none"/>
        </w:rPr>
      </w:pPr>
      <w:r>
        <w:rPr>
          <w:rFonts w:hint="eastAsia" w:ascii="方正楷体_GBK" w:hAnsi="方正楷体_GBK" w:eastAsia="方正楷体_GBK" w:cs="方正楷体_GBK"/>
          <w:b/>
          <w:bCs/>
          <w:sz w:val="32"/>
          <w:szCs w:val="32"/>
          <w:u w:val="none"/>
          <w:lang w:bidi="ar"/>
        </w:rPr>
        <w:t>4.</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夯实科研项目支撑体系，纵横向课题协同推进</w:t>
      </w:r>
    </w:p>
    <w:p w14:paraId="352FB3CA">
      <w:pPr>
        <w:widowControl w:val="0"/>
        <w:spacing w:line="560" w:lineRule="exact"/>
        <w:ind w:firstLine="640" w:firstLineChars="200"/>
        <w:textAlignment w:val="auto"/>
        <w:rPr>
          <w:rStyle w:val="4"/>
          <w:rFonts w:hint="eastAsia" w:ascii="Times New Roman" w:hAnsi="Times New Roman" w:eastAsia="方正仿宋_GBK" w:cstheme="minorBidi"/>
          <w:kern w:val="2"/>
          <w:sz w:val="32"/>
          <w:szCs w:val="32"/>
          <w:lang w:val="en-US" w:eastAsia="zh-CN" w:bidi="ar-SA"/>
          <w14:ligatures w14:val="none"/>
        </w:rPr>
      </w:pPr>
      <w:r>
        <w:rPr>
          <w:rFonts w:hint="eastAsia" w:ascii="仿宋" w:hAnsi="仿宋" w:eastAsia="仿宋" w:cs="仿宋"/>
          <w:sz w:val="32"/>
          <w:szCs w:val="32"/>
          <w:lang w:val="en-US" w:eastAsia="zh-CN"/>
        </w:rPr>
        <w:t>按照上</w:t>
      </w:r>
      <w:r>
        <w:rPr>
          <w:rFonts w:hint="default" w:ascii="Times New Roman Regular" w:hAnsi="Times New Roman Regular" w:eastAsia="仿宋" w:cs="Times New Roman Regular"/>
          <w:sz w:val="32"/>
          <w:szCs w:val="32"/>
          <w:lang w:val="en-US" w:eastAsia="zh-CN"/>
        </w:rPr>
        <w:t>级部署与要求，高质量完成各项课题研究任务，持续夯实决策服务的科研根基。全年新获批科研项目29项，人均承担约3.6项，实现了立项数量与质量“双提升”，其中高层次项目占比显著提高。具体包括国家社科基金项目1项，省社科基金重点项目1项、一般项目1项，省软科学项目1项，省决策咨询研究基地课题2项、省重点智库课题5项；完成市厅级项目12项，其中盐城市委研究室决策咨询类4项、市科技局3项、市社科联5项；另有多项横向课题顺利结题。年度累计到账科研经费约50万元。与此同时，研究院积极深化数字化转型，部署应用DeepSeek-R1等大语言模型构建智能研究平台，以技术赋能科研创新与决策咨询。</w:t>
      </w:r>
    </w:p>
    <w:p w14:paraId="5C7492EF">
      <w:pPr>
        <w:widowControl/>
        <w:spacing w:line="240" w:lineRule="auto"/>
        <w:ind w:firstLine="0" w:firstLineChars="0"/>
        <w:jc w:val="left"/>
        <w:textAlignment w:val="auto"/>
        <w:rPr>
          <w:rFonts w:hint="eastAsia" w:ascii="方正公文黑体" w:hAnsi="方正公文黑体" w:eastAsia="方正公文黑体" w:cs="方正公文黑体"/>
          <w:sz w:val="32"/>
          <w:szCs w:val="32"/>
          <w:u w:val="none"/>
          <w:lang w:bidi="ar"/>
          <w14:ligatures w14:val="standardContextual"/>
        </w:rPr>
      </w:pPr>
      <w:r>
        <w:rPr>
          <w:rFonts w:hint="eastAsia" w:ascii="方正公文黑体" w:hAnsi="方正公文黑体" w:eastAsia="方正公文黑体" w:cs="方正公文黑体"/>
          <w:sz w:val="32"/>
          <w:szCs w:val="32"/>
          <w:u w:val="none"/>
          <w:lang w:val="en-US" w:eastAsia="zh-CN" w:bidi="ar"/>
          <w14:ligatures w14:val="standardContextual"/>
        </w:rPr>
        <w:t>三、</w:t>
      </w:r>
      <w:r>
        <w:rPr>
          <w:rFonts w:hint="eastAsia" w:ascii="方正公文黑体" w:hAnsi="方正公文黑体" w:eastAsia="方正公文黑体" w:cs="方正公文黑体"/>
          <w:b w:val="0"/>
          <w:bCs w:val="0"/>
          <w:i w:val="0"/>
          <w:iCs w:val="0"/>
          <w:caps w:val="0"/>
          <w:color w:val="auto"/>
          <w:spacing w:val="0"/>
          <w:kern w:val="2"/>
          <w:sz w:val="32"/>
          <w:szCs w:val="32"/>
          <w:u w:val="none"/>
          <w:lang w:val="en-US" w:eastAsia="zh-CN" w:bidi="ar"/>
          <w14:ligatures w14:val="standardContextual"/>
        </w:rPr>
        <w:t> </w:t>
      </w:r>
      <w:r>
        <w:rPr>
          <w:rStyle w:val="4"/>
          <w:rFonts w:hint="eastAsia" w:ascii="方正公文黑体" w:hAnsi="方正公文黑体" w:eastAsia="方正公文黑体" w:cs="方正公文黑体"/>
          <w:b w:val="0"/>
          <w:bCs w:val="0"/>
          <w:i w:val="0"/>
          <w:iCs w:val="0"/>
          <w:caps w:val="0"/>
          <w:color w:val="0F1115"/>
          <w:spacing w:val="0"/>
          <w:kern w:val="2"/>
          <w:sz w:val="32"/>
          <w:szCs w:val="32"/>
          <w:u w:val="none"/>
          <w:lang w:val="en-US" w:eastAsia="zh-CN" w:bidi="ar"/>
          <w14:ligatures w14:val="standardContextual"/>
        </w:rPr>
        <w:t>聚力品牌塑造，扩大学术影响“辐射圈”</w:t>
      </w:r>
    </w:p>
    <w:p w14:paraId="7910B35C">
      <w:pPr>
        <w:widowControl/>
        <w:spacing w:line="240" w:lineRule="auto"/>
        <w:ind w:firstLine="640" w:firstLineChars="200"/>
        <w:jc w:val="left"/>
        <w:textAlignment w:val="auto"/>
        <w:rPr>
          <w:rFonts w:hint="eastAsia" w:ascii="仿宋" w:hAnsi="仿宋" w:eastAsia="仿宋" w:cs="仿宋"/>
          <w:b/>
          <w:bCs/>
          <w:sz w:val="32"/>
          <w:szCs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148590</wp:posOffset>
                </wp:positionH>
                <wp:positionV relativeFrom="paragraph">
                  <wp:posOffset>95250</wp:posOffset>
                </wp:positionV>
                <wp:extent cx="173355" cy="199390"/>
                <wp:effectExtent l="17145" t="24765" r="19050" b="23495"/>
                <wp:wrapNone/>
                <wp:docPr id="3" name="五角星 3"/>
                <wp:cNvGraphicFramePr/>
                <a:graphic xmlns:a="http://schemas.openxmlformats.org/drawingml/2006/main">
                  <a:graphicData uri="http://schemas.microsoft.com/office/word/2010/wordprocessingShape">
                    <wps:wsp>
                      <wps:cNvSpPr/>
                      <wps:spPr>
                        <a:xfrm>
                          <a:off x="0" y="0"/>
                          <a:ext cx="173355" cy="199390"/>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1.7pt;margin-top:7.5pt;height:15.7pt;width:13.65pt;z-index:251661312;v-text-anchor:middle;mso-width-relative:page;mso-height-relative:page;" fillcolor="#4874CB [3204]" filled="t" stroked="t" coordsize="173355,199390" o:gfxdata="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zrMl/dYAAAAH&#10;AQAADwAAAAAAAAABACAAAAAiAAAAZHJzL2Rvd25yZXYueG1sUEsBAhQAFAAAAAgAh07iQEwzxtWQ&#10;AgAAGQUAAA4AAAAAAAAAAQAgAAAAJQEAAGRycy9lMm9Eb2MueG1sUEsFBgAAAAAGAAYAWQEAACcG&#10;AAAAAA==&#10;" path="m0,76160l66216,76160,86677,0,107138,76160,173354,76160,119784,123229,140247,199389,86677,152319,33107,199389,53570,123229xe">
                <v:path o:connectlocs="86677,0;0,76160;33107,199389;140247,199389;173354,76160" o:connectangles="247,164,82,82,0"/>
                <v:fill on="t" focussize="0,0"/>
                <v:stroke weight="1pt" color="#2E54A1 [2404]" miterlimit="8" joinstyle="miter"/>
                <v:imagedata o:title=""/>
                <o:lock v:ext="edit" aspectratio="f"/>
              </v:shape>
            </w:pict>
          </mc:Fallback>
        </mc:AlternateContent>
      </w:r>
      <w:r>
        <w:rPr>
          <w:rFonts w:hint="eastAsia" w:ascii="方正楷体_GBK" w:hAnsi="方正楷体_GBK" w:eastAsia="方正楷体_GBK" w:cs="方正楷体_GBK"/>
          <w:b/>
          <w:bCs/>
          <w:sz w:val="32"/>
          <w:szCs w:val="32"/>
          <w:u w:val="none"/>
          <w:lang w:bidi="ar"/>
        </w:rPr>
        <w:t>1.</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高端平台构筑影响力，品牌论坛声量彰显</w:t>
      </w:r>
    </w:p>
    <w:p w14:paraId="71643496">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聚焦沿海发展核心议题，全</w:t>
      </w:r>
      <w:bookmarkStart w:id="0" w:name="_GoBack"/>
      <w:bookmarkEnd w:id="0"/>
      <w:r>
        <w:rPr>
          <w:rFonts w:hint="eastAsia" w:ascii="仿宋" w:hAnsi="仿宋" w:eastAsia="仿宋" w:cs="仿宋"/>
          <w:sz w:val="32"/>
          <w:szCs w:val="32"/>
          <w:lang w:val="en-US" w:eastAsia="zh-CN"/>
        </w:rPr>
        <w:t>年成功举办三场大型高端学术会议，持续扩大智库行业影响力与品牌辨识度。一是承办江苏省社科界第十九届学术大会区域专场（盐城），二是与南通大学联合主办全国沿海高校服务区域经济发展联盟第十四届学术年会，三是独立举办第十届沿海发展高层论坛。三场活动均获得新华网、新华日报、交汇点新闻、中国社会科学报、中国社会科学网、盐阜大众报等主流媒体深度报道，形成广泛社会传播效应，现已成为学校赋能沿海高质量发展、展示学术研究与社会服务能力的核心交流载体。</w:t>
      </w:r>
    </w:p>
    <w:p w14:paraId="7E001BBB">
      <w:pPr>
        <w:widowControl/>
        <w:spacing w:line="240" w:lineRule="auto"/>
        <w:ind w:firstLine="643" w:firstLineChars="200"/>
        <w:jc w:val="left"/>
        <w:textAlignment w:val="auto"/>
        <w:rPr>
          <w:rFonts w:hint="eastAsia" w:ascii="仿宋" w:hAnsi="仿宋" w:eastAsia="仿宋" w:cs="仿宋"/>
          <w:b/>
          <w:bCs/>
          <w:sz w:val="32"/>
          <w:szCs w:val="32"/>
        </w:rPr>
      </w:pPr>
      <w:r>
        <w:rPr>
          <w:rFonts w:hint="eastAsia" w:ascii="方正楷体_GBK" w:hAnsi="方正楷体_GBK" w:eastAsia="方正楷体_GBK" w:cs="方正楷体_GBK"/>
          <w:b/>
          <w:bCs/>
          <w:sz w:val="32"/>
          <w:szCs w:val="32"/>
          <w:u w:val="none"/>
          <w:lang w:bidi="ar"/>
        </w:rPr>
        <w:t>2.</w:t>
      </w: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主动发声掌握话语权，智库观点广为传播</w:t>
      </w:r>
    </w:p>
    <w:p w14:paraId="77C32372">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锚定“十五五”规划编制、党的二十届四中全会精神落实等重大部署，聚焦沿海发展关键领域主动发声，持续提升智库行业影响力与社会知名度。一是核心专家精准发力：智库专家围绕“激发民间投资活力”“促进民营经济高质量发展”“推动‘文旅热’常态化可持续”等热点议题，2次接受中央级媒体《经济日报》专访；智库研究员就我国援基里巴斯海水淡化项目投运等重大合作成果，接受地方主流媒体《盐阜大众报》采访，以专业视角传递智库观点。二是专题理论深度解读：党的二十届四中全会召开后，迅速组织专家学者在《盐阜大众报》刊发《深化“双创融合” 加快发展海洋经济》《加快港产城融合发展 推动蓝色经济迈上新台阶》等3篇理论文章，为政策落地提供实践路径参考。三是会议成果延伸传播：江苏省社科界第十九届学术大会区域专场举办后，在中国社会科学网发表《生态“富集区”如何变身发展“新高地”》专题解读，将会议研讨成果转化为决策咨询建议，为海洋强省建设注入智力动能。</w:t>
      </w:r>
    </w:p>
    <w:p w14:paraId="49B0CB37">
      <w:pPr>
        <w:widowControl/>
        <w:numPr>
          <w:ilvl w:val="0"/>
          <w:numId w:val="0"/>
        </w:numPr>
        <w:spacing w:line="240" w:lineRule="auto"/>
        <w:ind w:firstLine="643" w:firstLineChars="200"/>
        <w:jc w:val="left"/>
        <w:textAlignment w:val="auto"/>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pPr>
      <w:r>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t>3.开放合作拓展朋友圈，协同网络纵深发展</w:t>
      </w:r>
    </w:p>
    <w:p w14:paraId="713919B5">
      <w:p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i w:val="0"/>
          <w:iCs w:val="0"/>
          <w:caps w:val="0"/>
          <w:spacing w:val="0"/>
          <w:kern w:val="2"/>
          <w:sz w:val="32"/>
          <w:szCs w:val="32"/>
          <w:u w:val="none"/>
          <w:lang w:val="en-US" w:eastAsia="zh-CN" w:bidi="ar"/>
        </w:rPr>
        <w:t>智库专家积极发挥智库代表作用，持续拓展多元合作网络，全方位提升智库服务能级。一是</w:t>
      </w:r>
      <w:r>
        <w:rPr>
          <w:rFonts w:hint="default" w:ascii="Times New Roman Regular" w:hAnsi="Times New Roman Regular" w:eastAsia="仿宋" w:cs="Times New Roman Regular"/>
          <w:kern w:val="2"/>
          <w:sz w:val="32"/>
          <w:szCs w:val="32"/>
          <w:lang w:val="en-US" w:eastAsia="zh-CN" w:bidi="ar-SA"/>
        </w:rPr>
        <w:t>在“2025CTTI新型</w:t>
      </w:r>
      <w:r>
        <w:rPr>
          <w:rFonts w:hint="eastAsia" w:ascii="仿宋" w:hAnsi="仿宋" w:eastAsia="仿宋" w:cs="仿宋"/>
          <w:i w:val="0"/>
          <w:iCs w:val="0"/>
          <w:caps w:val="0"/>
          <w:spacing w:val="0"/>
          <w:kern w:val="2"/>
          <w:sz w:val="32"/>
          <w:szCs w:val="32"/>
          <w:u w:val="none"/>
          <w:lang w:val="en-US" w:eastAsia="zh-CN" w:bidi="ar"/>
        </w:rPr>
        <w:t>智库治理论坛”等平台踊跃发声、交流思想，报送成果与案例获得多项荣誉，其中《关于发展水系锌电池仓式储能电池的建议》获评研究优秀成果一等奖，《关于加快建设世界级新能源产业集群的建议》获评二等奖，智库实践案例《深耕区域·赋能发展：沿海发展智库“三维协同”模式的创新实践》入选年度优秀案例，彰显了在全国智库体系中的影响力。</w:t>
      </w:r>
      <w:r>
        <w:rPr>
          <w:rFonts w:hint="default" w:ascii="Times New Roman Regular" w:hAnsi="Times New Roman Regular" w:eastAsia="仿宋" w:cs="Times New Roman Regular"/>
          <w:kern w:val="2"/>
          <w:sz w:val="32"/>
          <w:szCs w:val="32"/>
          <w:lang w:val="en-US" w:eastAsia="zh-CN" w:bidi="ar-SA"/>
        </w:rPr>
        <w:t>二是</w:t>
      </w:r>
      <w:r>
        <w:rPr>
          <w:rFonts w:hint="eastAsia" w:ascii="仿宋" w:hAnsi="仿宋" w:eastAsia="仿宋" w:cs="仿宋"/>
          <w:i w:val="0"/>
          <w:iCs w:val="0"/>
          <w:caps w:val="0"/>
          <w:spacing w:val="0"/>
          <w:kern w:val="2"/>
          <w:sz w:val="32"/>
          <w:szCs w:val="32"/>
          <w:u w:val="none"/>
          <w:lang w:val="en-US" w:eastAsia="zh-CN" w:bidi="ar"/>
        </w:rPr>
        <w:t>参加“学习贯彻党的二十届四中全会精神智库专家座谈会”“‘十五五’推动江苏沿海地区高质量发展迈上新台阶座谈会”“第三届江苏高质量发展理论研讨会”等重要会议，围绕江苏“十五</w:t>
      </w:r>
      <w:r>
        <w:rPr>
          <w:rFonts w:hint="default" w:ascii="Times New Roman Regular" w:hAnsi="Times New Roman Regular" w:eastAsia="仿宋" w:cs="Times New Roman Regular"/>
          <w:kern w:val="2"/>
          <w:sz w:val="32"/>
          <w:szCs w:val="32"/>
          <w:lang w:val="en-US" w:eastAsia="zh-CN" w:bidi="ar-SA"/>
        </w:rPr>
        <w:t>五”发展谋划、新质生产力培育等关键议题深入交流研讨</w:t>
      </w:r>
      <w:r>
        <w:rPr>
          <w:rFonts w:hint="eastAsia" w:ascii="仿宋" w:hAnsi="仿宋" w:eastAsia="仿宋" w:cs="仿宋"/>
          <w:i w:val="0"/>
          <w:iCs w:val="0"/>
          <w:caps w:val="0"/>
          <w:spacing w:val="0"/>
          <w:kern w:val="2"/>
          <w:sz w:val="32"/>
          <w:szCs w:val="32"/>
          <w:u w:val="none"/>
          <w:lang w:val="en-US" w:eastAsia="zh-CN" w:bidi="ar"/>
        </w:rPr>
        <w:t>。三是主动开展专业服务，赴南京参加省委书记批示件答复座谈会，赴泰州学院举办决策咨询报告撰写专题辅导，并参与省政府决策咨询重点课题汇报会，推动智库成果落地转化。四是开展多区域、多主题实地调研，赴苏州、镇江、长沙、岳阳等地推进“创塑消费亭好品牌，促进消费提档升级”课题调研，赴宿迁、常州围绕“聚焦科技创新，推进科产融合”完成外地考察调研及建议方案编制，前往连云港灌云县、徐州云龙区开展“促进苏北农民增收对策研究”专题调研，夯实决策咨询的数据支撑与实践基础。五是参加“第五期江苏省高层次智库专家研修班”“海洋经济暨新能源产业高层次人才对接会”，持续提升专家队伍专业素养与跨界协作能力。</w:t>
      </w:r>
    </w:p>
    <w:p w14:paraId="28D3A513">
      <w:pPr>
        <w:widowControl/>
        <w:numPr>
          <w:ilvl w:val="0"/>
          <w:numId w:val="0"/>
        </w:numPr>
        <w:spacing w:line="240" w:lineRule="auto"/>
        <w:jc w:val="left"/>
        <w:textAlignment w:val="auto"/>
        <w:rPr>
          <w:rStyle w:val="4"/>
          <w:rFonts w:hint="eastAsia" w:ascii="方正楷体_GBK" w:hAnsi="方正楷体_GBK" w:eastAsia="方正楷体_GBK" w:cs="方正楷体_GBK"/>
          <w:b/>
          <w:bCs/>
          <w:i w:val="0"/>
          <w:iCs w:val="0"/>
          <w:caps w:val="0"/>
          <w:color w:val="0F1115"/>
          <w:spacing w:val="0"/>
          <w:kern w:val="2"/>
          <w:sz w:val="32"/>
          <w:szCs w:val="32"/>
          <w:u w:val="none"/>
          <w:lang w:val="en-US" w:eastAsia="zh-CN" w:bidi="ar"/>
        </w:rPr>
      </w:pPr>
    </w:p>
    <w:p w14:paraId="36A96FDE">
      <w:pPr>
        <w:widowControl/>
        <w:spacing w:line="240" w:lineRule="auto"/>
        <w:jc w:val="left"/>
        <w:textAlignment w:val="auto"/>
        <w:rPr>
          <w:rFonts w:hint="default" w:ascii="方正公文黑体" w:hAnsi="方正公文黑体" w:eastAsia="方正公文黑体" w:cs="方正公文黑体"/>
          <w:sz w:val="32"/>
          <w:szCs w:val="32"/>
          <w:lang w:val="en-US" w:eastAsia="zh-CN"/>
          <w14:ligatures w14:val="standardContextual"/>
        </w:rPr>
      </w:pPr>
      <w:r>
        <w:rPr>
          <w:rFonts w:hint="eastAsia" w:ascii="方正公文黑体" w:hAnsi="方正公文黑体" w:eastAsia="方正公文黑体" w:cs="方正公文黑体"/>
          <w:sz w:val="32"/>
          <w:szCs w:val="32"/>
          <w:lang w:val="en-US" w:eastAsia="zh-CN" w:bidi="ar"/>
          <w14:ligatures w14:val="standardContextual"/>
        </w:rPr>
        <w:t>四、</w:t>
      </w:r>
      <w:r>
        <w:rPr>
          <w:rStyle w:val="4"/>
          <w:rFonts w:hint="eastAsia" w:ascii="方正公文黑体" w:hAnsi="方正公文黑体" w:eastAsia="方正公文黑体" w:cs="方正公文黑体"/>
          <w:b w:val="0"/>
          <w:bCs w:val="0"/>
          <w:i w:val="0"/>
          <w:iCs w:val="0"/>
          <w:caps w:val="0"/>
          <w:color w:val="0F1115"/>
          <w:spacing w:val="0"/>
          <w:kern w:val="2"/>
          <w:sz w:val="32"/>
          <w:szCs w:val="32"/>
          <w:u w:val="none"/>
          <w:lang w:val="en-US" w:eastAsia="zh-CN" w:bidi="ar"/>
          <w14:ligatures w14:val="standardContextual"/>
        </w:rPr>
        <w:t>展望未来征程，擘画协同发展“新蓝图”</w:t>
      </w:r>
    </w:p>
    <w:p w14:paraId="6C7D870A">
      <w:pPr>
        <w:widowControl/>
        <w:spacing w:line="580" w:lineRule="exact"/>
        <w:ind w:firstLine="640" w:firstLineChars="0"/>
        <w:jc w:val="left"/>
        <w:textAlignment w:val="auto"/>
        <w:rPr>
          <w:rFonts w:hint="eastAsia" w:ascii="仿宋" w:hAnsi="仿宋" w:eastAsia="仿宋" w:cs="仿宋"/>
          <w:kern w:val="2"/>
          <w:sz w:val="32"/>
          <w:szCs w:val="32"/>
          <w:lang w:val="en-US" w:eastAsia="zh-CN" w:bidi="ar-SA"/>
          <w14:ligatures w14:val="none"/>
        </w:rPr>
      </w:pPr>
      <w:r>
        <w:rPr>
          <w:rFonts w:hint="eastAsia" w:ascii="仿宋" w:hAnsi="仿宋" w:eastAsia="仿宋" w:cs="仿宋"/>
          <w:i w:val="0"/>
          <w:iCs w:val="0"/>
          <w:caps w:val="0"/>
          <w:spacing w:val="0"/>
          <w:kern w:val="2"/>
          <w:sz w:val="32"/>
          <w:szCs w:val="32"/>
          <w:u w:val="none"/>
          <w:lang w:val="en-US" w:eastAsia="zh-CN" w:bidi="ar"/>
        </w:rPr>
        <w:t>2026年，</w:t>
      </w:r>
      <w:r>
        <w:rPr>
          <w:rFonts w:hint="eastAsia" w:ascii="仿宋" w:hAnsi="仿宋" w:eastAsia="仿宋" w:cs="仿宋"/>
          <w:i w:val="0"/>
          <w:iCs w:val="0"/>
          <w:caps w:val="0"/>
          <w:color w:val="auto"/>
          <w:spacing w:val="0"/>
          <w:kern w:val="2"/>
          <w:sz w:val="32"/>
          <w:szCs w:val="32"/>
          <w:u w:val="none"/>
          <w:shd w:val="clear" w:fill="auto"/>
          <w:lang w:val="en-US" w:eastAsia="zh-CN" w:bidi="ar"/>
        </w:rPr>
        <w:t>研究院将</w:t>
      </w:r>
      <w:r>
        <w:rPr>
          <w:rFonts w:hint="eastAsia" w:ascii="仿宋" w:hAnsi="仿宋" w:eastAsia="仿宋" w:cs="仿宋"/>
          <w:i w:val="0"/>
          <w:iCs w:val="0"/>
          <w:caps w:val="0"/>
          <w:spacing w:val="0"/>
          <w:kern w:val="2"/>
          <w:sz w:val="32"/>
          <w:szCs w:val="32"/>
          <w:u w:val="none"/>
          <w:lang w:val="en-US" w:eastAsia="zh-CN" w:bidi="ar"/>
        </w:rPr>
        <w:t>继续</w:t>
      </w:r>
      <w:r>
        <w:rPr>
          <w:rFonts w:hint="eastAsia" w:ascii="仿宋" w:hAnsi="仿宋" w:eastAsia="仿宋" w:cs="仿宋"/>
          <w:i w:val="0"/>
          <w:iCs w:val="0"/>
          <w:caps w:val="0"/>
          <w:color w:val="auto"/>
          <w:spacing w:val="0"/>
          <w:kern w:val="2"/>
          <w:sz w:val="32"/>
          <w:szCs w:val="32"/>
          <w:u w:val="none"/>
          <w:shd w:val="clear" w:fill="auto"/>
          <w:lang w:val="en-US" w:eastAsia="zh-CN" w:bidi="ar"/>
        </w:rPr>
        <w:t>乘势而上，锚定三大战略支点，深</w:t>
      </w:r>
      <w:r>
        <w:rPr>
          <w:rFonts w:hint="eastAsia" w:ascii="仿宋" w:hAnsi="仿宋" w:eastAsia="仿宋" w:cs="仿宋"/>
          <w:b w:val="0"/>
          <w:bCs w:val="0"/>
          <w:i w:val="0"/>
          <w:iCs w:val="0"/>
          <w:caps w:val="0"/>
          <w:color w:val="0F1115"/>
          <w:spacing w:val="0"/>
          <w:kern w:val="2"/>
          <w:sz w:val="32"/>
          <w:szCs w:val="32"/>
          <w:u w:val="none"/>
          <w:lang w:val="en-US" w:eastAsia="zh-CN" w:bidi="ar"/>
        </w:rPr>
        <w:t>耕沿海领域，锻造特色优势，擦亮智库品牌</w:t>
      </w:r>
      <w:r>
        <w:rPr>
          <w:rFonts w:hint="eastAsia" w:ascii="仿宋" w:hAnsi="仿宋" w:eastAsia="仿宋" w:cs="仿宋"/>
          <w:i w:val="0"/>
          <w:iCs w:val="0"/>
          <w:caps w:val="0"/>
          <w:spacing w:val="0"/>
          <w:kern w:val="2"/>
          <w:sz w:val="32"/>
          <w:szCs w:val="32"/>
          <w:u w:val="none"/>
          <w:lang w:val="en-US" w:eastAsia="zh-CN" w:bidi="ar"/>
        </w:rPr>
        <w:t>。全力担当好</w:t>
      </w:r>
      <w:r>
        <w:rPr>
          <w:rFonts w:hint="eastAsia" w:ascii="仿宋" w:hAnsi="仿宋" w:eastAsia="仿宋" w:cs="仿宋"/>
          <w:b w:val="0"/>
          <w:bCs w:val="0"/>
          <w:i w:val="0"/>
          <w:iCs w:val="0"/>
          <w:caps w:val="0"/>
          <w:color w:val="0F1115"/>
          <w:spacing w:val="0"/>
          <w:kern w:val="2"/>
          <w:sz w:val="32"/>
          <w:szCs w:val="32"/>
          <w:u w:val="none"/>
          <w:lang w:val="en-US" w:eastAsia="zh-CN" w:bidi="ar"/>
        </w:rPr>
        <w:t>战略谋划的“参谋者”、发展态势的“瞭望者”、创新实践的“助推者”</w:t>
      </w:r>
      <w:r>
        <w:rPr>
          <w:rFonts w:hint="eastAsia" w:ascii="仿宋" w:hAnsi="仿宋" w:eastAsia="仿宋" w:cs="仿宋"/>
          <w:i w:val="0"/>
          <w:iCs w:val="0"/>
          <w:caps w:val="0"/>
          <w:spacing w:val="0"/>
          <w:kern w:val="2"/>
          <w:sz w:val="32"/>
          <w:szCs w:val="32"/>
          <w:u w:val="none"/>
          <w:lang w:val="en-US" w:eastAsia="zh-CN" w:bidi="ar"/>
        </w:rPr>
        <w:t>关键角色，着力构建</w:t>
      </w:r>
      <w:r>
        <w:rPr>
          <w:rFonts w:hint="eastAsia" w:ascii="仿宋" w:hAnsi="仿宋" w:eastAsia="仿宋" w:cs="仿宋"/>
          <w:b w:val="0"/>
          <w:bCs w:val="0"/>
          <w:i w:val="0"/>
          <w:iCs w:val="0"/>
          <w:caps w:val="0"/>
          <w:color w:val="0F1115"/>
          <w:spacing w:val="0"/>
          <w:kern w:val="2"/>
          <w:sz w:val="32"/>
          <w:szCs w:val="32"/>
          <w:u w:val="none"/>
          <w:lang w:val="en-US" w:eastAsia="zh-CN" w:bidi="ar"/>
        </w:rPr>
        <w:t>贯通“学”与“策”“政”与“民”“城”与“城”</w:t>
      </w:r>
      <w:r>
        <w:rPr>
          <w:rFonts w:hint="eastAsia" w:ascii="仿宋" w:hAnsi="仿宋" w:eastAsia="仿宋" w:cs="仿宋"/>
          <w:i w:val="0"/>
          <w:iCs w:val="0"/>
          <w:caps w:val="0"/>
          <w:spacing w:val="0"/>
          <w:kern w:val="2"/>
          <w:sz w:val="32"/>
          <w:szCs w:val="32"/>
          <w:u w:val="none"/>
          <w:lang w:val="en-US" w:eastAsia="zh-CN" w:bidi="ar"/>
        </w:rPr>
        <w:t>的坚实桥梁，为绘就中国式现代化江苏新实践的沿海画卷注入更强劲的智力动能。</w:t>
      </w:r>
    </w:p>
    <w:p w14:paraId="3A60A6DC">
      <w:pPr>
        <w:widowControl/>
        <w:spacing w:line="580" w:lineRule="exact"/>
        <w:ind w:firstLine="640"/>
        <w:jc w:val="left"/>
        <w:textAlignment w:val="auto"/>
        <w:rPr>
          <w:rFonts w:hint="eastAsia" w:ascii="仿宋" w:hAnsi="仿宋" w:eastAsia="仿宋" w:cs="仿宋"/>
          <w:sz w:val="32"/>
          <w:szCs w:val="32"/>
          <w:lang w:val="en-US" w:eastAsia="zh-CN"/>
          <w14:ligatures w14:val="none"/>
        </w:rPr>
      </w:pPr>
    </w:p>
    <w:p w14:paraId="1C793B73"/>
    <w:p w14:paraId="0DFF8D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embedRegular r:id="rId1" w:fontKey="{91FF898F-6788-4BB2-9246-30D4860B41CB}"/>
  </w:font>
  <w:font w:name="仿宋">
    <w:panose1 w:val="02010609060101010101"/>
    <w:charset w:val="86"/>
    <w:family w:val="auto"/>
    <w:pitch w:val="default"/>
    <w:sig w:usb0="800002BF" w:usb1="38CF7CFA" w:usb2="00000016" w:usb3="00000000" w:csb0="00040001" w:csb1="00000000"/>
    <w:embedRegular r:id="rId2" w:fontKey="{B358BAFA-FAD8-43DF-BD79-9C07F3753498}"/>
  </w:font>
  <w:font w:name="方正公文黑体">
    <w:panose1 w:val="02000500000000000000"/>
    <w:charset w:val="86"/>
    <w:family w:val="auto"/>
    <w:pitch w:val="default"/>
    <w:sig w:usb0="A00002BF" w:usb1="38CF7CFA" w:usb2="00000016" w:usb3="00000000" w:csb0="00040001" w:csb1="00000000"/>
    <w:embedRegular r:id="rId3" w:fontKey="{C773597E-B2FB-46E1-BD86-DFB8182087A3}"/>
  </w:font>
  <w:font w:name="方正楷体_GBK">
    <w:panose1 w:val="02000000000000000000"/>
    <w:charset w:val="86"/>
    <w:family w:val="auto"/>
    <w:pitch w:val="default"/>
    <w:sig w:usb0="800002BF" w:usb1="38CF7CFA" w:usb2="00000016" w:usb3="00000000" w:csb0="00040000" w:csb1="00000000"/>
    <w:embedRegular r:id="rId4" w:fontKey="{20667EBB-A673-4BEF-B8AE-9401D4FC0AEE}"/>
  </w:font>
  <w:font w:name="仿宋_GB2312">
    <w:altName w:val="仿宋"/>
    <w:panose1 w:val="02010609030101010101"/>
    <w:charset w:val="86"/>
    <w:family w:val="modern"/>
    <w:pitch w:val="default"/>
    <w:sig w:usb0="00000000" w:usb1="00000000" w:usb2="00000000" w:usb3="00000000" w:csb0="00040000" w:csb1="00000000"/>
    <w:embedRegular r:id="rId5" w:fontKey="{2A26B59D-6765-412E-B8BA-869A87D0B961}"/>
  </w:font>
  <w:font w:name="方正仿宋_GBK">
    <w:panose1 w:val="02000000000000000000"/>
    <w:charset w:val="86"/>
    <w:family w:val="auto"/>
    <w:pitch w:val="default"/>
    <w:sig w:usb0="A00002BF" w:usb1="38CF7CFA" w:usb2="00082016" w:usb3="00000000" w:csb0="00040001" w:csb1="00000000"/>
    <w:embedRegular r:id="rId6" w:fontKey="{74AE9E26-3E57-42CF-B8B5-505906FC530F}"/>
  </w:font>
  <w:font w:name="WPSEMBED1">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CF7B920"/>
    <w:rsid w:val="4A266749"/>
    <w:rsid w:val="56CB286F"/>
    <w:rsid w:val="DD3EE775"/>
    <w:rsid w:val="FCF7B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 w:type="character" w:customStyle="1" w:styleId="6">
    <w:name w:val="UserStyle_3"/>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3147</Words>
  <Characters>3190</Characters>
  <Lines>0</Lines>
  <Paragraphs>0</Paragraphs>
  <TotalTime>251</TotalTime>
  <ScaleCrop>false</ScaleCrop>
  <LinksUpToDate>false</LinksUpToDate>
  <CharactersWithSpaces>3198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2025-12-09T17:47:00Z</dcterms:created>
  <dc:creator>zzy</dc:creator>
  <cp:lastModifiedBy>盼仙贝</cp:lastModifiedBy>
  <cp:lastPrinted>2025-12-09T03:08:38Z</cp:lastPrinted>
  <dcterms:modified xsi:type="dcterms:W3CDTF">2025-12-09T07:20:20Z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AD088BF8971E4C358B3EB8F14538F672_13</vt:lpwstr>
  </property>
  <property fmtid="{D5CDD505-2E9C-101B-9397-08002B2CF9AE}" pid="4" name="KSOTemplateDocerSaveRecord">
    <vt:lpwstr>eyJoZGlkIjoiOWY4NDhiNDY3YjBiZDlmOGIwNTZkMTA4ZjcyYTQ5YzIiLCJ1c2VySWQiOiIzMDUzODc2MDIifQ==</vt:lpwstr>
  </property>
</Properties>
</file>